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EF" w:rsidRDefault="009206EF" w:rsidP="00527B2F">
      <w:pPr>
        <w:tabs>
          <w:tab w:val="left" w:pos="180"/>
        </w:tabs>
        <w:suppressAutoHyphens/>
        <w:spacing w:after="0" w:line="300" w:lineRule="exact"/>
        <w:jc w:val="both"/>
      </w:pPr>
      <w:bookmarkStart w:id="0" w:name="_GoBack"/>
      <w:bookmarkEnd w:id="0"/>
      <w:r>
        <w:t xml:space="preserve">A hatósági eljárásokban a hivatásos katasztrófavédelmi szerv </w:t>
      </w:r>
      <w:r w:rsidRPr="004F5E9E">
        <w:t>az információs önrendelkezési jogról és az információszabadságról szóló 2011. évi CXII. törvény 37.</w:t>
      </w:r>
      <w:r>
        <w:t xml:space="preserve"> </w:t>
      </w:r>
      <w:r w:rsidRPr="004F5E9E">
        <w:t>§ (2) bekezdése alapján összeáll</w:t>
      </w:r>
      <w:r>
        <w:t>ított különös közzétételi listája</w:t>
      </w:r>
      <w:r w:rsidRPr="004F5E9E">
        <w:t xml:space="preserve"> részeként</w:t>
      </w:r>
      <w:r>
        <w:t xml:space="preserve"> közhírré teszi:</w:t>
      </w:r>
    </w:p>
    <w:p w:rsidR="00FC5E78" w:rsidRDefault="00FC5E78" w:rsidP="00FC5E78">
      <w:pPr>
        <w:suppressAutoHyphens/>
        <w:spacing w:after="0" w:line="300" w:lineRule="exact"/>
        <w:jc w:val="both"/>
      </w:pPr>
    </w:p>
    <w:p w:rsidR="009206EF" w:rsidRDefault="009206EF" w:rsidP="00FC5E78">
      <w:pPr>
        <w:pStyle w:val="Listaszerbekezds"/>
        <w:numPr>
          <w:ilvl w:val="0"/>
          <w:numId w:val="10"/>
        </w:numPr>
        <w:suppressAutoHyphens/>
        <w:spacing w:after="0" w:line="300" w:lineRule="exact"/>
        <w:jc w:val="both"/>
      </w:pPr>
      <w:r>
        <w:t>A személyek széles vagy pontosan meg nem határozható köre számára életveszéllyel vagy súlyos kárral fenyegető helyzet megelőzése, elhárítása vagy káros következményeinek enyhítése érdekében hozott</w:t>
      </w:r>
      <w:r w:rsidR="004B7129">
        <w:t xml:space="preserve"> döntését </w:t>
      </w:r>
      <w:r w:rsidR="003B10FE">
        <w:t>az általános közigazgatási rendtartásról szóló 2016. évi CL. törvény 89.§ (3) bekezdése</w:t>
      </w:r>
      <w:r w:rsidR="004B7129">
        <w:t xml:space="preserve"> alapján</w:t>
      </w:r>
      <w:r>
        <w:t>,</w:t>
      </w:r>
    </w:p>
    <w:p w:rsidR="009206EF" w:rsidRDefault="004B7129" w:rsidP="00FC5E78">
      <w:pPr>
        <w:pStyle w:val="Listaszerbekezds"/>
        <w:numPr>
          <w:ilvl w:val="0"/>
          <w:numId w:val="10"/>
        </w:numPr>
        <w:suppressAutoHyphens/>
        <w:spacing w:after="0" w:line="300" w:lineRule="exact"/>
        <w:jc w:val="both"/>
      </w:pPr>
      <w:r>
        <w:t>a</w:t>
      </w:r>
      <w:r w:rsidR="009206EF">
        <w:t xml:space="preserve"> közérdekű keresettel megtámadható</w:t>
      </w:r>
      <w:r w:rsidR="00527B2F">
        <w:t xml:space="preserve"> </w:t>
      </w:r>
      <w:r w:rsidR="00CE7A43">
        <w:t xml:space="preserve">döntését </w:t>
      </w:r>
      <w:r w:rsidR="003B10FE">
        <w:t>az általános közigazgatási rendtartásról szóló 2016. évi CL. törvény 89.§ (3) bekezdése</w:t>
      </w:r>
      <w:r w:rsidR="00CE7A43">
        <w:t xml:space="preserve"> alapján, </w:t>
      </w:r>
      <w:proofErr w:type="gramStart"/>
      <w:r w:rsidR="00CE7A43">
        <w:t>ezen</w:t>
      </w:r>
      <w:proofErr w:type="gramEnd"/>
      <w:r w:rsidR="00CE7A43">
        <w:t xml:space="preserve"> döntés alatt</w:t>
      </w:r>
      <w:r w:rsidR="003B10FE">
        <w:t xml:space="preserve"> </w:t>
      </w:r>
      <w:r w:rsidR="00527B2F">
        <w:t>a környezet védelméről szóló 1995. évi LIII. törvény 109.§ (2) bekezdése alapján hozott, véglegessé vált vagy azonnal végr</w:t>
      </w:r>
      <w:r w:rsidR="00CE7A43">
        <w:t>ehajthatóvá nyilvánított döntést értjük</w:t>
      </w:r>
      <w:r w:rsidR="006D7F33">
        <w:t>,</w:t>
      </w:r>
    </w:p>
    <w:p w:rsidR="00CE7A43" w:rsidRDefault="006D7F33" w:rsidP="006D7F33">
      <w:pPr>
        <w:pStyle w:val="Listaszerbekezds"/>
        <w:numPr>
          <w:ilvl w:val="0"/>
          <w:numId w:val="10"/>
        </w:numPr>
        <w:suppressAutoHyphens/>
        <w:spacing w:after="0" w:line="300" w:lineRule="exact"/>
        <w:jc w:val="both"/>
      </w:pPr>
      <w:r>
        <w:t>a vízvédelmi hatóságként eljáró hivatásos katasztrófavédelmi szerv véglegessé válására tekintet nélkül közhírré teszi a környezet védelméről szóló 1995. évi LIII. törvény 71. § (1) be</w:t>
      </w:r>
      <w:r w:rsidR="003B10FE">
        <w:t>ke</w:t>
      </w:r>
      <w:r w:rsidR="00CE7A43">
        <w:t>zdése alapján hozott döntését,</w:t>
      </w:r>
    </w:p>
    <w:p w:rsidR="00E342BF" w:rsidRPr="000E23C0" w:rsidRDefault="00906335" w:rsidP="00906335">
      <w:pPr>
        <w:pStyle w:val="Listaszerbekezds"/>
        <w:numPr>
          <w:ilvl w:val="0"/>
          <w:numId w:val="10"/>
        </w:numPr>
      </w:pPr>
      <w:r w:rsidRPr="000E23C0">
        <w:t>a vízgazdálkodási hatósági jogkör gyakorlásáról szóló</w:t>
      </w:r>
      <w:r w:rsidR="00E342BF" w:rsidRPr="000E23C0">
        <w:t xml:space="preserve"> 72/1996. Korm. rend. 5/B. § a) és b) pontja szerinti, környezeti hatásvizsgálati adatlappal érintett határozatokat</w:t>
      </w:r>
      <w:r w:rsidRPr="000E23C0">
        <w:t>,</w:t>
      </w:r>
    </w:p>
    <w:p w:rsidR="009206EF" w:rsidRPr="004F5E9E" w:rsidRDefault="00527B2F" w:rsidP="00CE7A43">
      <w:pPr>
        <w:pStyle w:val="Listaszerbekezds"/>
        <w:numPr>
          <w:ilvl w:val="0"/>
          <w:numId w:val="10"/>
        </w:numPr>
        <w:suppressAutoHyphens/>
        <w:spacing w:after="0" w:line="300" w:lineRule="exact"/>
        <w:jc w:val="both"/>
      </w:pPr>
      <w:r>
        <w:t>a</w:t>
      </w:r>
      <w:r w:rsidRPr="004F5E9E">
        <w:t xml:space="preserve"> piacfelügyeleti hatóságként eljáró hivatásos katasztrófavédelmi szerv </w:t>
      </w:r>
      <w:r>
        <w:t xml:space="preserve">véglegessé válására tekintet nélkül közhírré teszi </w:t>
      </w:r>
      <w:r w:rsidR="00CE7A43">
        <w:t xml:space="preserve">döntését </w:t>
      </w:r>
      <w:r w:rsidRPr="00A169AF">
        <w:t>a termékek piacfelügyeletéről szóló 2012. évi LXXXVIII. törvény 17.</w:t>
      </w:r>
      <w:r>
        <w:t xml:space="preserve"> </w:t>
      </w:r>
      <w:r w:rsidRPr="00A169AF">
        <w:t xml:space="preserve">§, illetve a fogyasztóvédelemről szóló 1997. évi CLV. törvény 51.§ </w:t>
      </w:r>
      <w:r>
        <w:t>rendelkezései szerint, amennyiben a vizsgált termék nem felel meg a b</w:t>
      </w:r>
      <w:r w:rsidR="006D7F33">
        <w:t>iztonságossá</w:t>
      </w:r>
      <w:r w:rsidR="00CE7A43">
        <w:t>gi követelményeknek.</w:t>
      </w:r>
    </w:p>
    <w:p w:rsidR="00CE7A43" w:rsidRDefault="00CE7A43" w:rsidP="006C4D83">
      <w:pPr>
        <w:tabs>
          <w:tab w:val="left" w:pos="180"/>
        </w:tabs>
        <w:suppressAutoHyphens/>
        <w:spacing w:after="0" w:line="300" w:lineRule="exact"/>
        <w:jc w:val="both"/>
        <w:rPr>
          <w:i/>
          <w:iCs/>
        </w:rPr>
      </w:pPr>
    </w:p>
    <w:p w:rsidR="009206EF" w:rsidRPr="0043200A" w:rsidRDefault="006C4D83" w:rsidP="006C4D83">
      <w:pPr>
        <w:tabs>
          <w:tab w:val="left" w:pos="180"/>
        </w:tabs>
        <w:suppressAutoHyphens/>
        <w:spacing w:after="0" w:line="300" w:lineRule="exact"/>
        <w:jc w:val="both"/>
      </w:pPr>
      <w:r w:rsidRPr="006C4D83">
        <w:rPr>
          <w:i/>
          <w:iCs/>
        </w:rPr>
        <w:t xml:space="preserve">A </w:t>
      </w:r>
      <w:r>
        <w:rPr>
          <w:i/>
          <w:iCs/>
        </w:rPr>
        <w:t xml:space="preserve">döntések </w:t>
      </w:r>
      <w:r w:rsidRPr="006C4D83">
        <w:rPr>
          <w:i/>
          <w:iCs/>
        </w:rPr>
        <w:t>– a személyes és védett adatok kitakarását követően</w:t>
      </w:r>
      <w:r w:rsidR="00065307">
        <w:rPr>
          <w:i/>
          <w:iCs/>
        </w:rPr>
        <w:t>*</w:t>
      </w:r>
      <w:r w:rsidRPr="006C4D83">
        <w:rPr>
          <w:i/>
          <w:iCs/>
        </w:rPr>
        <w:t xml:space="preserve"> – a honlapon az </w:t>
      </w:r>
      <w:proofErr w:type="spellStart"/>
      <w:r w:rsidR="009206EF">
        <w:t>Ákr</w:t>
      </w:r>
      <w:proofErr w:type="spellEnd"/>
      <w:r w:rsidR="009206EF">
        <w:t>. 89.§ (1) bekezdése</w:t>
      </w:r>
      <w:r w:rsidR="009206EF" w:rsidRPr="0043200A">
        <w:t xml:space="preserve"> szerinti </w:t>
      </w:r>
      <w:r w:rsidR="009206EF">
        <w:t>közlemény</w:t>
      </w:r>
      <w:r w:rsidR="00065307">
        <w:t xml:space="preserve"> formájában jelennek meg, az alábbi tartalommal:</w:t>
      </w:r>
    </w:p>
    <w:p w:rsidR="009206EF" w:rsidRDefault="009206EF" w:rsidP="00065307">
      <w:pPr>
        <w:numPr>
          <w:ilvl w:val="2"/>
          <w:numId w:val="11"/>
        </w:numPr>
        <w:tabs>
          <w:tab w:val="left" w:pos="720"/>
        </w:tabs>
        <w:suppressAutoHyphens/>
        <w:spacing w:after="0" w:line="300" w:lineRule="exact"/>
        <w:jc w:val="both"/>
      </w:pPr>
      <w:r>
        <w:t>a kifüggesztés, a honlapon történő közzététel esetén a közzététel napja,</w:t>
      </w:r>
    </w:p>
    <w:p w:rsidR="009206EF" w:rsidRDefault="009206EF" w:rsidP="00065307">
      <w:pPr>
        <w:numPr>
          <w:ilvl w:val="2"/>
          <w:numId w:val="11"/>
        </w:numPr>
        <w:tabs>
          <w:tab w:val="left" w:pos="720"/>
        </w:tabs>
        <w:suppressAutoHyphens/>
        <w:spacing w:after="0" w:line="300" w:lineRule="exact"/>
        <w:jc w:val="both"/>
      </w:pPr>
      <w:r>
        <w:t>az eljáró hatóság megnevezése,</w:t>
      </w:r>
    </w:p>
    <w:p w:rsidR="009206EF" w:rsidRDefault="009206EF" w:rsidP="00065307">
      <w:pPr>
        <w:numPr>
          <w:ilvl w:val="2"/>
          <w:numId w:val="11"/>
        </w:numPr>
        <w:tabs>
          <w:tab w:val="left" w:pos="720"/>
        </w:tabs>
        <w:suppressAutoHyphens/>
        <w:spacing w:after="0" w:line="300" w:lineRule="exact"/>
        <w:jc w:val="both"/>
      </w:pPr>
      <w:r>
        <w:t>az ügy száma és tárgya,</w:t>
      </w:r>
    </w:p>
    <w:p w:rsidR="009206EF" w:rsidRDefault="009206EF" w:rsidP="00065307">
      <w:pPr>
        <w:numPr>
          <w:ilvl w:val="2"/>
          <w:numId w:val="11"/>
        </w:numPr>
        <w:tabs>
          <w:tab w:val="left" w:pos="720"/>
        </w:tabs>
        <w:suppressAutoHyphens/>
        <w:spacing w:after="0" w:line="300" w:lineRule="exact"/>
        <w:jc w:val="both"/>
      </w:pPr>
      <w:r>
        <w:t>az ügyfél neve és utolsó ismert lakcíme vagy székhelye,</w:t>
      </w:r>
    </w:p>
    <w:p w:rsidR="009206EF" w:rsidRDefault="009206EF" w:rsidP="00065307">
      <w:pPr>
        <w:numPr>
          <w:ilvl w:val="2"/>
          <w:numId w:val="11"/>
        </w:numPr>
        <w:tabs>
          <w:tab w:val="left" w:pos="720"/>
        </w:tabs>
        <w:suppressAutoHyphens/>
        <w:spacing w:after="0" w:line="300" w:lineRule="exact"/>
        <w:jc w:val="both"/>
      </w:pPr>
      <w:r>
        <w:t>a döntés rendelkező r</w:t>
      </w:r>
      <w:r w:rsidR="00065307">
        <w:t>észét és indokolásának kivonata</w:t>
      </w:r>
      <w:r>
        <w:t>, valamint</w:t>
      </w:r>
    </w:p>
    <w:p w:rsidR="009206EF" w:rsidRDefault="009206EF" w:rsidP="00065307">
      <w:pPr>
        <w:numPr>
          <w:ilvl w:val="2"/>
          <w:numId w:val="11"/>
        </w:numPr>
        <w:tabs>
          <w:tab w:val="left" w:pos="720"/>
        </w:tabs>
        <w:suppressAutoHyphens/>
        <w:spacing w:after="0" w:line="300" w:lineRule="exact"/>
        <w:jc w:val="both"/>
      </w:pPr>
      <w:r>
        <w:t>figyelemfelhívást, hogy a döntés a hatóságnál megtekinthető.</w:t>
      </w:r>
    </w:p>
    <w:p w:rsidR="009206EF" w:rsidRDefault="009206EF" w:rsidP="009206EF">
      <w:pPr>
        <w:spacing w:line="300" w:lineRule="exact"/>
        <w:jc w:val="both"/>
      </w:pPr>
    </w:p>
    <w:p w:rsidR="006D7F33" w:rsidRDefault="00065307" w:rsidP="006D7F33">
      <w:pPr>
        <w:tabs>
          <w:tab w:val="left" w:pos="360"/>
        </w:tabs>
        <w:suppressAutoHyphens/>
        <w:spacing w:after="0" w:line="300" w:lineRule="exact"/>
        <w:jc w:val="both"/>
      </w:pPr>
      <w:r>
        <w:t>*</w:t>
      </w:r>
      <w:r w:rsidR="006D7F33">
        <w:t>E szabály alól kivételt képeznek</w:t>
      </w:r>
      <w:r w:rsidR="009206EF" w:rsidRPr="009206EF">
        <w:t xml:space="preserve"> </w:t>
      </w:r>
      <w:r w:rsidR="006D7F33">
        <w:t>a termékek piacfelügyeletéről szóló 2012. évi LXXXVIII. törvény 17.</w:t>
      </w:r>
      <w:proofErr w:type="gramStart"/>
      <w:r w:rsidR="006D7F33">
        <w:t>§ ,</w:t>
      </w:r>
      <w:proofErr w:type="gramEnd"/>
      <w:r w:rsidR="006D7F33">
        <w:t xml:space="preserve"> illetve</w:t>
      </w:r>
      <w:r w:rsidR="006D7F33" w:rsidRPr="00A169AF">
        <w:t xml:space="preserve"> a fogyasztóvédelemről szóló 1997. évi CLV. törvény 51.§</w:t>
      </w:r>
      <w:r w:rsidR="006D7F33">
        <w:t xml:space="preserve"> bekezdése alapján közhírré tett határozatok, mivel ezek esetében  </w:t>
      </w:r>
      <w:r w:rsidR="009206EF" w:rsidRPr="009206EF">
        <w:t xml:space="preserve">a fogyasztók és a kereskedelmi forgalom biztonságossága érdekében a jogsértő gazdasági szereplő nevéből a személyes adatot nem kell kitakarni. </w:t>
      </w:r>
    </w:p>
    <w:p w:rsidR="007E316E" w:rsidRDefault="009206EF" w:rsidP="006D7F33">
      <w:pPr>
        <w:jc w:val="both"/>
      </w:pPr>
      <w:r w:rsidRPr="009206EF">
        <w:t>Szintén nem kell kitakarni a közszolgáltató egyéni vállalkozó nevét, mivel az az Információs önrendelkezési jogról és az információszabadságról szóló 2011. évi CXII. törvény 26.§ (3) bekezdése alapján közérdekből nyilvános adat.</w:t>
      </w:r>
    </w:p>
    <w:sectPr w:rsidR="007E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1">
    <w:nsid w:val="00000005"/>
    <w:multiLevelType w:val="singleLevel"/>
    <w:tmpl w:val="00000005"/>
    <w:name w:val="WW8Num2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2">
    <w:nsid w:val="00000006"/>
    <w:multiLevelType w:val="singleLevel"/>
    <w:tmpl w:val="00000006"/>
    <w:name w:val="WW8Num3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3">
    <w:nsid w:val="00000008"/>
    <w:multiLevelType w:val="multilevel"/>
    <w:tmpl w:val="00000008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454"/>
        </w:tabs>
        <w:ind w:left="397" w:hanging="397"/>
      </w:pPr>
      <w:rPr>
        <w:b w:val="0"/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B"/>
    <w:multiLevelType w:val="singleLevel"/>
    <w:tmpl w:val="94BECFD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757" w:hanging="397"/>
      </w:pPr>
      <w:rPr>
        <w:b w:val="0"/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89173C"/>
    <w:multiLevelType w:val="multilevel"/>
    <w:tmpl w:val="293E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814"/>
        </w:tabs>
        <w:ind w:left="757" w:hanging="397"/>
      </w:pPr>
      <w:rPr>
        <w:rFonts w:ascii="Symbol" w:hAnsi="Symbol" w:hint="default"/>
        <w:b w:val="0"/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D2395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757" w:hanging="397"/>
      </w:pPr>
      <w:rPr>
        <w:b w:val="0"/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B43EE"/>
    <w:multiLevelType w:val="hybridMultilevel"/>
    <w:tmpl w:val="7EA88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043A1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757" w:hanging="397"/>
      </w:pPr>
      <w:rPr>
        <w:b w:val="0"/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526E6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14"/>
        </w:tabs>
        <w:ind w:left="757" w:hanging="397"/>
      </w:pPr>
      <w:rPr>
        <w:b w:val="0"/>
        <w:i w:val="0"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94"/>
    <w:rsid w:val="00011264"/>
    <w:rsid w:val="00065307"/>
    <w:rsid w:val="000E23C0"/>
    <w:rsid w:val="003B10FE"/>
    <w:rsid w:val="00492E94"/>
    <w:rsid w:val="004B7129"/>
    <w:rsid w:val="00527B2F"/>
    <w:rsid w:val="006C4D83"/>
    <w:rsid w:val="006D7F33"/>
    <w:rsid w:val="007E316E"/>
    <w:rsid w:val="00906335"/>
    <w:rsid w:val="009206EF"/>
    <w:rsid w:val="00CE7A43"/>
    <w:rsid w:val="00E342BF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Csekő Katalin</dc:creator>
  <cp:lastModifiedBy>KEM KI hivatali aszisztens</cp:lastModifiedBy>
  <cp:revision>2</cp:revision>
  <dcterms:created xsi:type="dcterms:W3CDTF">2018-09-10T13:35:00Z</dcterms:created>
  <dcterms:modified xsi:type="dcterms:W3CDTF">2018-09-10T13:35:00Z</dcterms:modified>
</cp:coreProperties>
</file>